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附件1</w:t>
      </w:r>
    </w:p>
    <w:p>
      <w:pPr>
        <w:spacing w:before="156" w:beforeLines="50" w:after="156" w:afterLines="50"/>
        <w:jc w:val="center"/>
      </w:pPr>
      <w:r>
        <w:rPr>
          <w:rFonts w:hint="eastAsia" w:ascii="黑体" w:hAnsi="黑体" w:eastAsia="黑体" w:cs="黑体"/>
          <w:sz w:val="36"/>
          <w:szCs w:val="36"/>
        </w:rPr>
        <w:t>北京理工大学科技成果商业概念验证大赛报名表</w:t>
      </w:r>
    </w:p>
    <w:bookmarkEnd w:id="0"/>
    <w:tbl>
      <w:tblPr>
        <w:tblStyle w:val="14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7"/>
        <w:gridCol w:w="1966"/>
        <w:gridCol w:w="1966"/>
        <w:gridCol w:w="1966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9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一、项目信息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8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tblHeader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项目领域</w:t>
            </w:r>
          </w:p>
        </w:tc>
        <w:tc>
          <w:tcPr>
            <w:tcW w:w="78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□新一代信息技术   □智能制造与高端装备</w:t>
            </w:r>
          </w:p>
          <w:p>
            <w:pPr>
              <w:snapToGrid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□新能源与新材料   □军民融合与先进防务 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tblHeader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参赛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对象</w:t>
            </w:r>
          </w:p>
        </w:tc>
        <w:tc>
          <w:tcPr>
            <w:tcW w:w="78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□教师团队     □学生团队    □师生组合团队     </w:t>
            </w:r>
          </w:p>
          <w:p>
            <w:pPr>
              <w:snapToGrid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□已报送学校合规性梳理企业的相关师生团队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9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二、人员信息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所在学院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其他主要成员</w:t>
            </w:r>
          </w:p>
          <w:p>
            <w:pPr>
              <w:pStyle w:val="2"/>
              <w:rPr>
                <w:rFonts w:hint="eastAsia" w:eastAsia="仿宋_GB2312"/>
                <w:sz w:val="21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限4人以内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路演汇报人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所在学院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98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9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所在学院</w:t>
            </w:r>
          </w:p>
        </w:tc>
        <w:tc>
          <w:tcPr>
            <w:tcW w:w="198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19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66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98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980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三、科技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成果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后续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预期转化形式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Header/>
          <w:jc w:val="center"/>
        </w:trPr>
        <w:tc>
          <w:tcPr>
            <w:tcW w:w="980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科技成果作价入股组建学科性公司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成立“先赋权后行权”企业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  <w:p>
            <w:pPr>
              <w:spacing w:line="56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Header/>
          <w:jc w:val="center"/>
        </w:trPr>
        <w:tc>
          <w:tcPr>
            <w:tcW w:w="9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五、备注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  <w:tblHeader/>
          <w:jc w:val="center"/>
        </w:trPr>
        <w:tc>
          <w:tcPr>
            <w:tcW w:w="9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sz w:val="21"/>
                <w:szCs w:val="22"/>
              </w:rPr>
            </w:pPr>
          </w:p>
          <w:p>
            <w:pPr>
              <w:pStyle w:val="3"/>
              <w:rPr>
                <w:sz w:val="21"/>
                <w:szCs w:val="22"/>
              </w:rPr>
            </w:pPr>
          </w:p>
          <w:p>
            <w:pPr>
              <w:pStyle w:val="3"/>
              <w:rPr>
                <w:sz w:val="22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LW7l30AAAAAIBAAAPAAAAAAAAAAEAIAAAACIAAABkcnMv&#10;ZG93bnJldi54bWxQSwECFAAUAAAACACHTuJAii1jIAsCAAAEBAAADgAAAAAAAAABACAAAAAf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7B0E06-1850-4BD6-9737-47FD08AC65D9}">
  <ds:schemaRefs/>
</ds:datastoreItem>
</file>